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E5" w:rsidRPr="00B354E5" w:rsidRDefault="00B354E5" w:rsidP="00B354E5">
      <w:pPr>
        <w:jc w:val="center"/>
        <w:rPr>
          <w:rFonts w:ascii="Cambria" w:hAnsi="Cambria"/>
          <w:b/>
          <w:sz w:val="28"/>
          <w:szCs w:val="28"/>
        </w:rPr>
      </w:pPr>
      <w:r w:rsidRPr="00B354E5">
        <w:rPr>
          <w:rFonts w:ascii="Cambria" w:hAnsi="Cambria"/>
          <w:b/>
          <w:sz w:val="28"/>
          <w:szCs w:val="28"/>
        </w:rPr>
        <w:t>Tilbagemelding på essay</w:t>
      </w:r>
    </w:p>
    <w:p w:rsidR="00B354E5" w:rsidRPr="00B354E5" w:rsidRDefault="00B354E5" w:rsidP="00B354E5">
      <w:pPr>
        <w:spacing w:after="0"/>
        <w:rPr>
          <w:rFonts w:ascii="Cambria" w:hAnsi="Cambria"/>
          <w:i/>
        </w:rPr>
      </w:pPr>
      <w:r>
        <w:rPr>
          <w:rFonts w:ascii="Cambria" w:hAnsi="Cambria"/>
          <w:i/>
          <w:sz w:val="28"/>
          <w:szCs w:val="28"/>
        </w:rPr>
        <w:t xml:space="preserve">Navn: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866"/>
      </w:tblGrid>
      <w:tr w:rsidR="00B354E5" w:rsidRPr="00B354E5" w:rsidTr="00416BA0">
        <w:tc>
          <w:tcPr>
            <w:tcW w:w="1809" w:type="dxa"/>
            <w:shd w:val="clear" w:color="auto" w:fill="92CDDC" w:themeFill="accent5" w:themeFillTint="99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Besvarelse af den stillede opgave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Opfylder opgavens krav og anvisninger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Opfylder til dels opgavens krav og anvisninger</w:t>
            </w:r>
          </w:p>
        </w:tc>
        <w:tc>
          <w:tcPr>
            <w:tcW w:w="2866" w:type="dxa"/>
            <w:shd w:val="clear" w:color="auto" w:fill="92CDDC" w:themeFill="accent5" w:themeFillTint="99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Opfylder ikke opgavens krav og anvisninger</w:t>
            </w:r>
          </w:p>
        </w:tc>
      </w:tr>
      <w:tr w:rsidR="00B354E5" w:rsidRPr="00B354E5" w:rsidTr="00416BA0">
        <w:tc>
          <w:tcPr>
            <w:tcW w:w="1809" w:type="dxa"/>
            <w:vMerge w:val="restart"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bookmarkStart w:id="0" w:name="_GoBack" w:colFirst="0" w:colLast="0"/>
            <w:r w:rsidRPr="00B354E5">
              <w:rPr>
                <w:rFonts w:ascii="Cambria" w:hAnsi="Cambria"/>
                <w:sz w:val="21"/>
                <w:szCs w:val="21"/>
              </w:rPr>
              <w:t>Behandling af materiale</w:t>
            </w: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Materialet præsenteres, og der vises overblik over materialet.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Materialet præsenteres for kort, og der vises ikke det fulde overblik over materialet.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Materialet præsenteres ikke, og der vises ikke overblik over materialet.</w:t>
            </w:r>
          </w:p>
        </w:tc>
      </w:tr>
      <w:tr w:rsidR="00B354E5" w:rsidRPr="00B354E5" w:rsidTr="00416BA0">
        <w:tc>
          <w:tcPr>
            <w:tcW w:w="1809" w:type="dxa"/>
            <w:vMerge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Det er klart, hvornår det er materialet, der refereres til, og hvornår det er dig selv, der taler.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Det er til tider klart, hvornår det er materialet, der refereres til, og hvornår det er dig selv, der taler.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Det er ikke klart, hvornår det er materialet, der refereres til, og hvornår det er dig selv, der taler.</w:t>
            </w:r>
          </w:p>
        </w:tc>
      </w:tr>
      <w:tr w:rsidR="00B354E5" w:rsidRPr="00B354E5" w:rsidTr="00416BA0">
        <w:tc>
          <w:tcPr>
            <w:tcW w:w="1809" w:type="dxa"/>
            <w:vMerge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Klart fokus i materialet ud fra emnet og god udvælgelse af centrale dele af materialet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Til dels fokus i materialet ud fra emnet og rimelig udvælgelse af centrale dele af materialet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Ikke klart fokus i materialet ud fra emnet og ikke god udvælgelse af centrale dele af materialet</w:t>
            </w:r>
          </w:p>
        </w:tc>
      </w:tr>
      <w:tr w:rsidR="00B354E5" w:rsidRPr="00B354E5" w:rsidTr="00416BA0">
        <w:trPr>
          <w:trHeight w:val="1125"/>
        </w:trPr>
        <w:tc>
          <w:tcPr>
            <w:tcW w:w="1809" w:type="dxa"/>
            <w:vMerge w:val="restart"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Egne tanker og refleksioner over emnet</w:t>
            </w: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Formår at koble det konkrete og personlige eksempel til det abstrakte og generelle i det stillede emne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Formår til dels at koble det konkrete og personlige eksempel til det abstrakte og generelle i det stillede emne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Formår ikke at koble det konkrete og personlige eksempel til det abstrakte og generelle i det stillede emne</w:t>
            </w:r>
          </w:p>
        </w:tc>
      </w:tr>
      <w:tr w:rsidR="00B354E5" w:rsidRPr="00B354E5" w:rsidTr="00416BA0">
        <w:trPr>
          <w:trHeight w:val="760"/>
        </w:trPr>
        <w:tc>
          <w:tcPr>
            <w:tcW w:w="1809" w:type="dxa"/>
            <w:vMerge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Interessante og vedkommende iagttagelser om emnet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Interessante og til dels vedkommende iagttagelser om emnet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Uinteressante og uvedkommende iagttagelser om emnet</w:t>
            </w:r>
          </w:p>
        </w:tc>
      </w:tr>
      <w:tr w:rsidR="00B354E5" w:rsidRPr="00B354E5" w:rsidTr="00416BA0">
        <w:tc>
          <w:tcPr>
            <w:tcW w:w="1809" w:type="dxa"/>
            <w:vMerge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Undersøger og reflekterer over emnet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Undersøger og reflekterer til dels over emnet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Undersøger og reflekterer ikke over emnet</w:t>
            </w:r>
          </w:p>
        </w:tc>
      </w:tr>
      <w:tr w:rsidR="00B354E5" w:rsidRPr="00B354E5" w:rsidTr="00416BA0">
        <w:tc>
          <w:tcPr>
            <w:tcW w:w="1809" w:type="dxa"/>
            <w:vMerge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Inddrager egne overvejelser/andet stof (danskfagligt)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Inddrager et minimum af egne overvejelser/andet stof (danskfagligt)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Inddrager ikke egne overvejelser/andet stof (danskfagligt)</w:t>
            </w:r>
          </w:p>
        </w:tc>
      </w:tr>
      <w:tr w:rsidR="00B354E5" w:rsidRPr="00B354E5" w:rsidTr="00416BA0">
        <w:tc>
          <w:tcPr>
            <w:tcW w:w="1809" w:type="dxa"/>
            <w:vMerge w:val="restart"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Fremstillingen: Fokus og struktur</w:t>
            </w: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Fremstillingen har en klar rød tråd og emnefokus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Fremstillingen har ikke en helt klar rød tråd og emnefokus er svagt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Fremstillingen har ikke en klar rød tråd eller emnefokus</w:t>
            </w:r>
          </w:p>
        </w:tc>
      </w:tr>
      <w:tr w:rsidR="00B354E5" w:rsidRPr="00B354E5" w:rsidTr="00416BA0">
        <w:tc>
          <w:tcPr>
            <w:tcW w:w="1809" w:type="dxa"/>
            <w:vMerge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Afrunding med åbne overvejelser og pointer, hvor læseren selv kan fortsætte refleksioner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Afrunding med kun lidt åbne overvejelser og pointer, hvor læseren til dels selv kan fortsætte refleksioner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Afrunding med lukkede overvejelser og pointer, hvor læseren ikke selv kan fortsætte refleksioner</w:t>
            </w:r>
          </w:p>
        </w:tc>
      </w:tr>
      <w:tr w:rsidR="00B354E5" w:rsidRPr="00B354E5" w:rsidTr="00416BA0">
        <w:tc>
          <w:tcPr>
            <w:tcW w:w="1809" w:type="dxa"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Personlig sprogtone</w:t>
            </w: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Sprødt sprog; Billedrigt, friskt og personligt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Spændstigt sprog; Meget lidt billedsprog, jævnt og til dels personligt.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Blødt sprog; Fladt, kedeligt og upersonligt</w:t>
            </w:r>
          </w:p>
        </w:tc>
      </w:tr>
      <w:tr w:rsidR="00B354E5" w:rsidRPr="00B354E5" w:rsidTr="00416BA0">
        <w:tc>
          <w:tcPr>
            <w:tcW w:w="1809" w:type="dxa"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Sproglig korrekthed</w:t>
            </w: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I top!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En del mangler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Mange mangler</w:t>
            </w:r>
          </w:p>
        </w:tc>
      </w:tr>
      <w:tr w:rsidR="00B354E5" w:rsidRPr="00B354E5" w:rsidTr="00416BA0">
        <w:tc>
          <w:tcPr>
            <w:tcW w:w="1809" w:type="dxa"/>
            <w:shd w:val="clear" w:color="auto" w:fill="DAEEF3" w:themeFill="accent5" w:themeFillTint="33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Grammatik</w:t>
            </w:r>
          </w:p>
        </w:tc>
        <w:tc>
          <w:tcPr>
            <w:tcW w:w="2410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Få fejl og mangler</w:t>
            </w:r>
          </w:p>
        </w:tc>
        <w:tc>
          <w:tcPr>
            <w:tcW w:w="2693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En del fejl og mangler</w:t>
            </w:r>
          </w:p>
        </w:tc>
        <w:tc>
          <w:tcPr>
            <w:tcW w:w="2866" w:type="dxa"/>
          </w:tcPr>
          <w:p w:rsidR="00B354E5" w:rsidRPr="00B354E5" w:rsidRDefault="00B354E5" w:rsidP="00123B3E">
            <w:pPr>
              <w:rPr>
                <w:rFonts w:ascii="Cambria" w:hAnsi="Cambria"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Mange fejl og mangler</w:t>
            </w:r>
          </w:p>
        </w:tc>
      </w:tr>
      <w:bookmarkEnd w:id="0"/>
      <w:tr w:rsidR="00B354E5" w:rsidRPr="00B354E5" w:rsidTr="00123B3E">
        <w:tc>
          <w:tcPr>
            <w:tcW w:w="9778" w:type="dxa"/>
            <w:gridSpan w:val="4"/>
          </w:tcPr>
          <w:p w:rsidR="00B354E5" w:rsidRPr="00B354E5" w:rsidRDefault="00B354E5" w:rsidP="00B354E5">
            <w:pPr>
              <w:rPr>
                <w:rFonts w:ascii="Cambria" w:hAnsi="Cambria"/>
                <w:b/>
                <w:sz w:val="21"/>
                <w:szCs w:val="21"/>
              </w:rPr>
            </w:pPr>
            <w:r w:rsidRPr="00B354E5">
              <w:rPr>
                <w:rFonts w:ascii="Cambria" w:hAnsi="Cambria"/>
                <w:sz w:val="21"/>
                <w:szCs w:val="21"/>
              </w:rPr>
              <w:t>Sam</w:t>
            </w:r>
            <w:r w:rsidR="00C90D90">
              <w:rPr>
                <w:rFonts w:ascii="Cambria" w:hAnsi="Cambria"/>
                <w:sz w:val="21"/>
                <w:szCs w:val="21"/>
              </w:rPr>
              <w:t>menfattet vurdering:</w:t>
            </w:r>
          </w:p>
          <w:p w:rsidR="00B354E5" w:rsidRDefault="00B354E5" w:rsidP="00123B3E">
            <w:pPr>
              <w:rPr>
                <w:rFonts w:ascii="Cambria" w:hAnsi="Cambria"/>
                <w:b/>
                <w:sz w:val="21"/>
                <w:szCs w:val="21"/>
              </w:rPr>
            </w:pPr>
          </w:p>
          <w:p w:rsidR="00C90D90" w:rsidRDefault="00C90D90" w:rsidP="00123B3E">
            <w:pPr>
              <w:rPr>
                <w:rFonts w:ascii="Cambria" w:hAnsi="Cambria"/>
                <w:b/>
                <w:sz w:val="21"/>
                <w:szCs w:val="21"/>
              </w:rPr>
            </w:pPr>
          </w:p>
          <w:p w:rsidR="00C90D90" w:rsidRPr="00B354E5" w:rsidRDefault="00C90D90" w:rsidP="00123B3E">
            <w:pPr>
              <w:rPr>
                <w:rFonts w:ascii="Cambria" w:hAnsi="Cambria"/>
                <w:b/>
                <w:sz w:val="21"/>
                <w:szCs w:val="21"/>
              </w:rPr>
            </w:pPr>
          </w:p>
        </w:tc>
      </w:tr>
      <w:tr w:rsidR="00C90D90" w:rsidRPr="00B354E5" w:rsidTr="00C90D90">
        <w:tc>
          <w:tcPr>
            <w:tcW w:w="9778" w:type="dxa"/>
            <w:gridSpan w:val="4"/>
          </w:tcPr>
          <w:p w:rsidR="00C90D90" w:rsidRPr="00B354E5" w:rsidRDefault="00C90D90" w:rsidP="00222FCF">
            <w:pPr>
              <w:rPr>
                <w:rFonts w:ascii="Cambria" w:hAnsi="Cambria"/>
                <w:b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Karakter:</w:t>
            </w:r>
          </w:p>
          <w:p w:rsidR="00C90D90" w:rsidRPr="00B354E5" w:rsidRDefault="00C90D90" w:rsidP="00222FCF">
            <w:pPr>
              <w:rPr>
                <w:rFonts w:ascii="Cambria" w:hAnsi="Cambria"/>
                <w:b/>
                <w:sz w:val="21"/>
                <w:szCs w:val="21"/>
              </w:rPr>
            </w:pPr>
          </w:p>
        </w:tc>
      </w:tr>
    </w:tbl>
    <w:p w:rsidR="00F96209" w:rsidRPr="00B354E5" w:rsidRDefault="00F96209"/>
    <w:sectPr w:rsidR="00F96209" w:rsidRPr="00B354E5" w:rsidSect="004854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E5"/>
    <w:rsid w:val="00416BA0"/>
    <w:rsid w:val="0048549C"/>
    <w:rsid w:val="00B354E5"/>
    <w:rsid w:val="00C90D90"/>
    <w:rsid w:val="00F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E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3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E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3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Frederiksborg Gymnasium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</dc:creator>
  <cp:lastModifiedBy>Karin Breinholt</cp:lastModifiedBy>
  <cp:revision>2</cp:revision>
  <dcterms:created xsi:type="dcterms:W3CDTF">2013-08-07T19:22:00Z</dcterms:created>
  <dcterms:modified xsi:type="dcterms:W3CDTF">2013-08-07T19:22:00Z</dcterms:modified>
</cp:coreProperties>
</file>